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17"/>
        <w:gridCol w:w="2595"/>
        <w:gridCol w:w="708"/>
        <w:gridCol w:w="2222"/>
        <w:gridCol w:w="2881"/>
      </w:tblGrid>
      <w:tr w:rsidR="00602DA4" w:rsidRPr="00A972FD" w14:paraId="5658951F" w14:textId="77777777" w:rsidTr="00D4506B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A972FD" w:rsidRDefault="00602DA4" w:rsidP="00C45E18">
            <w:pPr>
              <w:spacing w:before="240"/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A972FD">
              <w:rPr>
                <w:rFonts w:cstheme="minorHAnsi"/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A972FD" w:rsidRDefault="00C45E18" w:rsidP="00C45E18">
            <w:pPr>
              <w:spacing w:after="240"/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A972FD">
              <w:rPr>
                <w:rFonts w:cstheme="minorHAnsi"/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A972FD" w:rsidRDefault="00094215" w:rsidP="00094215">
            <w:pPr>
              <w:spacing w:line="36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A972FD">
              <w:rPr>
                <w:rFonts w:cstheme="minorHAnsi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A972FD" w14:paraId="270969B7" w14:textId="77777777" w:rsidTr="00551C3A"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A972FD" w:rsidRDefault="00551C3A" w:rsidP="00431CC4">
            <w:pPr>
              <w:jc w:val="both"/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A972FD" w:rsidRDefault="00551C3A" w:rsidP="00551C3A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Вид оценка:</w:t>
            </w: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46FC4DAB" w:rsidR="00551C3A" w:rsidRPr="00A972FD" w:rsidRDefault="00551C3A" w:rsidP="00551C3A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 w:rsidRPr="00A972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6371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</w:r>
            <w:r w:rsidR="006371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A972FD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B1C3B" w:rsidRPr="00A972FD" w14:paraId="5D8F94B7" w14:textId="77777777" w:rsidTr="00066A6C">
        <w:trPr>
          <w:trHeight w:val="293"/>
        </w:trPr>
        <w:sdt>
          <w:sdtPr>
            <w:rPr>
              <w:rFonts w:cstheme="minorHAnsi"/>
              <w:sz w:val="24"/>
              <w:szCs w:val="24"/>
            </w:r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8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663167B2" w:rsidR="000B1C3B" w:rsidRPr="00A972FD" w:rsidRDefault="00CC5133" w:rsidP="00392592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CC5133">
                  <w:rPr>
                    <w:rFonts w:cstheme="minorHAnsi"/>
                    <w:sz w:val="24"/>
                    <w:szCs w:val="24"/>
                  </w:rPr>
                  <w:t>Закон за водоснабдяването и канализацията</w:t>
                </w:r>
              </w:p>
            </w:tc>
          </w:sdtContent>
        </w:sdt>
        <w:tc>
          <w:tcPr>
            <w:tcW w:w="2222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5EA02D28" w14:textId="77777777" w:rsidR="000B1C3B" w:rsidRPr="00A972FD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1C3B" w:rsidRPr="00A972FD" w14:paraId="5B737F46" w14:textId="77777777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58AA1498" w14:textId="77777777" w:rsidR="000B1C3B" w:rsidRPr="00A972FD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Становище по ред: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2E51740F" w:rsidR="000B1C3B" w:rsidRPr="00A972FD" w:rsidRDefault="00836207" w:rsidP="002B6C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>
              <w:rPr>
                <w:rFonts w:cstheme="minorHAnsi"/>
                <w:sz w:val="24"/>
                <w:szCs w:val="24"/>
              </w:rPr>
              <w:instrText xml:space="preserve"> FORMDROPDOWN </w:instrText>
            </w:r>
            <w:r w:rsidR="006371FD">
              <w:rPr>
                <w:rFonts w:cstheme="minorHAnsi"/>
                <w:sz w:val="24"/>
                <w:szCs w:val="24"/>
              </w:rPr>
            </w:r>
            <w:r w:rsidR="006371FD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0B1C3B" w:rsidRPr="00A972FD" w14:paraId="647C8793" w14:textId="77777777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4085515B" w14:textId="54388D97" w:rsidR="000B1C3B" w:rsidRPr="004C6C07" w:rsidRDefault="00FE669E" w:rsidP="002B6CB5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</w:rPr>
              <w:t>Номер и дата</w:t>
            </w:r>
            <w:r w:rsidR="004C6C07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CA5C7F" w:rsidRDefault="006371FD" w:rsidP="002B6C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25pt;height:32.2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A972FD" w14:paraId="78782D45" w14:textId="77777777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32D8155A" w14:textId="2B7ACA48" w:rsidR="000B1C3B" w:rsidRPr="00A972FD" w:rsidRDefault="000B1C3B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В отговор на №: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18000E36" w:rsidR="000B1C3B" w:rsidRPr="00A972FD" w:rsidRDefault="006371FD" w:rsidP="00CC5133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CC5133">
                  <w:rPr>
                    <w:rFonts w:cstheme="minorHAnsi"/>
                    <w:sz w:val="24"/>
                    <w:szCs w:val="24"/>
                  </w:rPr>
                  <w:t>03-01-212/</w:t>
                </w:r>
                <w:r w:rsidR="00CC5133" w:rsidRPr="00CC5133">
                  <w:rPr>
                    <w:rFonts w:cstheme="minorHAnsi"/>
                    <w:sz w:val="24"/>
                    <w:szCs w:val="24"/>
                  </w:rPr>
                  <w:t>17.10.2022</w:t>
                </w:r>
                <w:r w:rsidR="00CC5133">
                  <w:rPr>
                    <w:rFonts w:cstheme="minorHAnsi"/>
                    <w:sz w:val="24"/>
                    <w:szCs w:val="24"/>
                  </w:rPr>
                  <w:t xml:space="preserve"> г.</w:t>
                </w:r>
              </w:sdtContent>
            </w:sdt>
          </w:p>
        </w:tc>
      </w:tr>
      <w:tr w:rsidR="000B1C3B" w:rsidRPr="00A972FD" w14:paraId="7926F6B0" w14:textId="77777777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A972FD" w:rsidRDefault="000B1C3B" w:rsidP="002B6C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A972FD" w:rsidRDefault="00B925F8" w:rsidP="00274543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Институция</w:t>
            </w:r>
            <w:r w:rsidR="000B1C3B" w:rsidRPr="00A972F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881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222724A5" w:rsidR="000B1C3B" w:rsidRPr="00A972FD" w:rsidRDefault="00CC5133" w:rsidP="0054028C">
                <w:pPr>
                  <w:rPr>
                    <w:rFonts w:cstheme="minorHAnsi"/>
                    <w:sz w:val="24"/>
                    <w:szCs w:val="24"/>
                  </w:rPr>
                </w:pPr>
                <w:r w:rsidRPr="00CC5133">
                  <w:rPr>
                    <w:rFonts w:cstheme="minorHAnsi"/>
                    <w:sz w:val="24"/>
                    <w:szCs w:val="24"/>
                  </w:rPr>
                  <w:t>Министерство на регионалното развитие и благоустройството</w:t>
                </w:r>
              </w:p>
            </w:tc>
          </w:sdtContent>
        </w:sdt>
      </w:tr>
      <w:tr w:rsidR="00602DA4" w:rsidRPr="00A972FD" w14:paraId="28F9B30D" w14:textId="77777777" w:rsidTr="00D4506B">
        <w:tc>
          <w:tcPr>
            <w:tcW w:w="1517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</w:tcPr>
          <w:p w14:paraId="66D2B72B" w14:textId="77777777" w:rsidR="00602DA4" w:rsidRPr="00A972FD" w:rsidRDefault="00602DA4" w:rsidP="002B6CB5">
            <w:pPr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Диспозитив:</w:t>
            </w:r>
          </w:p>
        </w:tc>
        <w:tc>
          <w:tcPr>
            <w:tcW w:w="84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748AAC9A" w:rsidR="00602DA4" w:rsidRPr="00A972FD" w:rsidRDefault="006F6CCA" w:rsidP="006F6CCA">
            <w:pPr>
              <w:rPr>
                <w:rFonts w:cstheme="minorHAnsi"/>
                <w:sz w:val="24"/>
                <w:szCs w:val="24"/>
              </w:rPr>
            </w:pPr>
            <w:r>
              <w:t>Н</w:t>
            </w:r>
            <w:r w:rsidRPr="006F6CCA">
              <w:t>е съгласува</w:t>
            </w:r>
            <w:r>
              <w:t>. О</w:t>
            </w:r>
            <w:r w:rsidRPr="006F6CCA">
              <w:t>тправя препоръки</w:t>
            </w:r>
            <w:r>
              <w:t>.</w:t>
            </w:r>
          </w:p>
        </w:tc>
      </w:tr>
      <w:tr w:rsidR="00602DA4" w:rsidRPr="00A972FD" w14:paraId="43DB9136" w14:textId="77777777" w:rsidTr="00D4506B">
        <w:tc>
          <w:tcPr>
            <w:tcW w:w="1517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A972FD" w:rsidRDefault="00602DA4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4F92AA55" w:rsidR="00602DA4" w:rsidRPr="00A972FD" w:rsidRDefault="00D71609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4"/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3" w:name="Dropdown4"/>
            <w:r w:rsidRPr="00A972FD">
              <w:rPr>
                <w:rFonts w:cstheme="minorHAnsi"/>
                <w:sz w:val="24"/>
                <w:szCs w:val="24"/>
              </w:rPr>
              <w:instrText xml:space="preserve"> FORMDROPDOWN </w:instrText>
            </w:r>
            <w:r w:rsidR="006371FD">
              <w:rPr>
                <w:rFonts w:cstheme="minorHAnsi"/>
                <w:sz w:val="24"/>
                <w:szCs w:val="24"/>
              </w:rPr>
            </w:r>
            <w:r w:rsidR="006371FD">
              <w:rPr>
                <w:rFonts w:cstheme="minorHAnsi"/>
                <w:sz w:val="24"/>
                <w:szCs w:val="24"/>
              </w:rPr>
              <w:fldChar w:fldCharType="separate"/>
            </w:r>
            <w:r w:rsidRPr="00A972FD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811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A972FD" w:rsidRDefault="00602DA4" w:rsidP="002B6CB5">
            <w:pPr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A972FD" w:rsidRDefault="00602DA4">
      <w:pPr>
        <w:rPr>
          <w:rFonts w:cstheme="minorHAnsi"/>
        </w:rPr>
        <w:sectPr w:rsidR="00602DA4" w:rsidRPr="00A972FD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602DA4" w:rsidRPr="00A972FD" w14:paraId="4B0175DF" w14:textId="77777777" w:rsidTr="00DE00B0">
        <w:tc>
          <w:tcPr>
            <w:tcW w:w="9914" w:type="dxa"/>
            <w:shd w:val="clear" w:color="auto" w:fill="FFFFFF" w:themeFill="background1"/>
          </w:tcPr>
          <w:p w14:paraId="16F1882A" w14:textId="589D2CAD" w:rsidR="00602DA4" w:rsidRPr="00A972FD" w:rsidRDefault="00602DA4" w:rsidP="00E374A5">
            <w:pPr>
              <w:pStyle w:val="ListParagraph"/>
              <w:numPr>
                <w:ilvl w:val="0"/>
                <w:numId w:val="2"/>
              </w:numPr>
              <w:ind w:left="900" w:hanging="5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Относно раздел 1 „</w:t>
            </w:r>
            <w:r w:rsidR="00EB342F" w:rsidRPr="00A972FD">
              <w:rPr>
                <w:rFonts w:cstheme="minorHAnsi"/>
                <w:b/>
                <w:sz w:val="24"/>
                <w:szCs w:val="24"/>
              </w:rPr>
              <w:t xml:space="preserve">Проблем/проблеми за </w:t>
            </w:r>
            <w:r w:rsidR="00A86B07" w:rsidRPr="00A972FD">
              <w:rPr>
                <w:rFonts w:eastAsia="Times New Roman" w:cstheme="minorHAnsi"/>
                <w:b/>
                <w:sz w:val="24"/>
                <w:szCs w:val="24"/>
              </w:rPr>
              <w:t>решаване</w:t>
            </w:r>
            <w:r w:rsidRPr="00A972FD">
              <w:rPr>
                <w:rFonts w:cstheme="minorHAnsi"/>
                <w:b/>
                <w:sz w:val="24"/>
                <w:szCs w:val="24"/>
              </w:rPr>
              <w:t>“:</w:t>
            </w:r>
          </w:p>
        </w:tc>
      </w:tr>
      <w:tr w:rsidR="000B1C3B" w:rsidRPr="00A972FD" w14:paraId="1AC1BF9F" w14:textId="77777777" w:rsidTr="00DE00B0">
        <w:tc>
          <w:tcPr>
            <w:tcW w:w="9914" w:type="dxa"/>
            <w:shd w:val="clear" w:color="auto" w:fill="FFFFFF" w:themeFill="background1"/>
          </w:tcPr>
          <w:p w14:paraId="1213C037" w14:textId="116318A5" w:rsidR="000B1C3B" w:rsidRPr="00932950" w:rsidRDefault="003176CD" w:rsidP="00291885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изложението на раздела са идентифицирани проблеми, произтичащи от фрагментираната нормативна уредба</w:t>
            </w:r>
            <w:r w:rsidR="00DF1B3A">
              <w:rPr>
                <w:rFonts w:cstheme="minorHAnsi"/>
                <w:sz w:val="24"/>
                <w:szCs w:val="24"/>
              </w:rPr>
              <w:t xml:space="preserve"> в тематичната област. В този контекст н</w:t>
            </w:r>
            <w:r>
              <w:rPr>
                <w:rFonts w:cstheme="minorHAnsi"/>
                <w:sz w:val="24"/>
                <w:szCs w:val="24"/>
              </w:rPr>
              <w:t>асърчаваме предло</w:t>
            </w:r>
            <w:r w:rsidR="00DF1B3A">
              <w:rPr>
                <w:rFonts w:cstheme="minorHAnsi"/>
                <w:sz w:val="24"/>
                <w:szCs w:val="24"/>
              </w:rPr>
              <w:t>жения подход за кодифициране (</w:t>
            </w:r>
            <w:r w:rsidR="00DF1B3A" w:rsidRPr="00DF1B3A">
              <w:rPr>
                <w:rFonts w:cstheme="minorHAnsi"/>
                <w:sz w:val="24"/>
                <w:szCs w:val="24"/>
              </w:rPr>
              <w:t>окрупняване</w:t>
            </w:r>
            <w:r w:rsidR="00DF1B3A">
              <w:rPr>
                <w:rFonts w:cstheme="minorHAnsi"/>
                <w:sz w:val="24"/>
                <w:szCs w:val="24"/>
              </w:rPr>
              <w:t xml:space="preserve">) на приложимите нормативни актове </w:t>
            </w:r>
            <w:r>
              <w:rPr>
                <w:rFonts w:cstheme="minorHAnsi"/>
                <w:sz w:val="24"/>
                <w:szCs w:val="24"/>
              </w:rPr>
              <w:t>и уеднаквяване на понятийния апарат</w:t>
            </w:r>
            <w:r w:rsidR="00DF1B3A">
              <w:rPr>
                <w:rFonts w:cstheme="minorHAnsi"/>
                <w:sz w:val="24"/>
                <w:szCs w:val="24"/>
              </w:rPr>
              <w:t>. С цел по-</w:t>
            </w:r>
            <w:r w:rsidR="00291885">
              <w:rPr>
                <w:rFonts w:cstheme="minorHAnsi"/>
                <w:sz w:val="24"/>
                <w:szCs w:val="24"/>
              </w:rPr>
              <w:t>добро онагледяване</w:t>
            </w:r>
            <w:r w:rsidR="00DF1B3A">
              <w:rPr>
                <w:rFonts w:cstheme="minorHAnsi"/>
                <w:sz w:val="24"/>
                <w:szCs w:val="24"/>
              </w:rPr>
              <w:t xml:space="preserve"> предлагаме изложението </w:t>
            </w:r>
            <w:r w:rsidR="00291885">
              <w:rPr>
                <w:rFonts w:cstheme="minorHAnsi"/>
                <w:sz w:val="24"/>
                <w:szCs w:val="24"/>
              </w:rPr>
              <w:t xml:space="preserve">на раздела </w:t>
            </w:r>
            <w:r w:rsidR="00DF1B3A">
              <w:rPr>
                <w:rFonts w:cstheme="minorHAnsi"/>
                <w:sz w:val="24"/>
                <w:szCs w:val="24"/>
              </w:rPr>
              <w:t>да се</w:t>
            </w:r>
            <w:r w:rsidR="00291885">
              <w:rPr>
                <w:rFonts w:cstheme="minorHAnsi"/>
                <w:sz w:val="24"/>
                <w:szCs w:val="24"/>
              </w:rPr>
              <w:t xml:space="preserve"> разшири посредством </w:t>
            </w:r>
            <w:r w:rsidR="00DF1B3A">
              <w:rPr>
                <w:rFonts w:cstheme="minorHAnsi"/>
                <w:sz w:val="24"/>
                <w:szCs w:val="24"/>
              </w:rPr>
              <w:t>включване на конкретни примери за проявленията на проблема.</w:t>
            </w:r>
          </w:p>
        </w:tc>
      </w:tr>
      <w:tr w:rsidR="000B1C3B" w:rsidRPr="00A972FD" w14:paraId="71337012" w14:textId="77777777" w:rsidTr="00DE00B0">
        <w:tc>
          <w:tcPr>
            <w:tcW w:w="9914" w:type="dxa"/>
            <w:shd w:val="clear" w:color="auto" w:fill="FFFFFF" w:themeFill="background1"/>
          </w:tcPr>
          <w:p w14:paraId="15E0EEBC" w14:textId="63EF4C44" w:rsidR="000B1C3B" w:rsidRPr="00A972FD" w:rsidRDefault="000B1C3B" w:rsidP="00E15DAB">
            <w:pPr>
              <w:pStyle w:val="a"/>
              <w:ind w:left="900" w:hanging="540"/>
              <w:jc w:val="both"/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t xml:space="preserve">Относно раздел </w:t>
            </w:r>
            <w:r w:rsidR="00E15DAB">
              <w:rPr>
                <w:rFonts w:cstheme="minorHAnsi"/>
                <w:sz w:val="24"/>
                <w:szCs w:val="24"/>
              </w:rPr>
              <w:t>3</w:t>
            </w:r>
            <w:r w:rsidRPr="00A972FD">
              <w:rPr>
                <w:rFonts w:cstheme="minorHAnsi"/>
                <w:sz w:val="24"/>
                <w:szCs w:val="24"/>
              </w:rPr>
              <w:t xml:space="preserve"> „Цели“</w:t>
            </w:r>
            <w:r w:rsidR="00445CE4" w:rsidRPr="00A972F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0B1C3B" w:rsidRPr="00A972FD" w14:paraId="2CBB4309" w14:textId="77777777" w:rsidTr="00DE00B0">
        <w:tc>
          <w:tcPr>
            <w:tcW w:w="9914" w:type="dxa"/>
            <w:shd w:val="clear" w:color="auto" w:fill="FFFFFF" w:themeFill="background1"/>
          </w:tcPr>
          <w:p w14:paraId="5D5F5135" w14:textId="100473F5" w:rsidR="000B1C3B" w:rsidRPr="00E91AA9" w:rsidRDefault="00E91AA9" w:rsidP="0015487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Формулираните цели </w:t>
            </w:r>
            <w:r w:rsidR="0015487A">
              <w:rPr>
                <w:rFonts w:cstheme="minorHAnsi"/>
                <w:sz w:val="24"/>
                <w:szCs w:val="24"/>
              </w:rPr>
              <w:t xml:space="preserve">са реалистични и постижими и </w:t>
            </w:r>
            <w:r>
              <w:rPr>
                <w:rFonts w:cstheme="minorHAnsi"/>
                <w:sz w:val="24"/>
                <w:szCs w:val="24"/>
              </w:rPr>
              <w:t>съответстват на идентифицираните проблеми. Същевременно, къ</w:t>
            </w:r>
            <w:r w:rsidR="0015487A">
              <w:rPr>
                <w:rFonts w:cstheme="minorHAnsi"/>
                <w:sz w:val="24"/>
                <w:szCs w:val="24"/>
              </w:rPr>
              <w:t>м тях не са посочени обективно</w:t>
            </w:r>
            <w:r>
              <w:rPr>
                <w:rFonts w:cstheme="minorHAnsi"/>
                <w:sz w:val="24"/>
                <w:szCs w:val="24"/>
              </w:rPr>
              <w:t xml:space="preserve"> измерими критерии за постигането им. Това създава риск за проследяването на постигнатите резултати. В тази връзка съветваме към описаните цели да се формулират обективни показатели за текущо и желано бъдещо състояние, въз основа на които да се оцени осъществената политика в последваща оценка на въздействието.</w:t>
            </w:r>
          </w:p>
        </w:tc>
      </w:tr>
      <w:tr w:rsidR="00602DA4" w:rsidRPr="00A972FD" w14:paraId="1DFC9924" w14:textId="77777777" w:rsidTr="00DE00B0">
        <w:tblPrEx>
          <w:shd w:val="clear" w:color="auto" w:fill="FFFFFF" w:themeFill="background1"/>
        </w:tblPrEx>
        <w:tc>
          <w:tcPr>
            <w:tcW w:w="9914" w:type="dxa"/>
            <w:shd w:val="clear" w:color="auto" w:fill="FFFFFF" w:themeFill="background1"/>
          </w:tcPr>
          <w:p w14:paraId="4682AB90" w14:textId="3185E376" w:rsidR="00602DA4" w:rsidRPr="00A972FD" w:rsidRDefault="00602DA4" w:rsidP="00227D54">
            <w:pPr>
              <w:pStyle w:val="ListParagraph"/>
              <w:numPr>
                <w:ilvl w:val="0"/>
                <w:numId w:val="2"/>
              </w:numPr>
              <w:ind w:left="900" w:hanging="5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72FD">
              <w:rPr>
                <w:rFonts w:cstheme="minorHAnsi"/>
                <w:b/>
                <w:sz w:val="24"/>
                <w:szCs w:val="24"/>
              </w:rPr>
              <w:t>Относно раздел 4 „Варианти на действие</w:t>
            </w:r>
            <w:r w:rsidR="00227D54">
              <w:rPr>
                <w:rFonts w:cstheme="minorHAnsi"/>
                <w:b/>
                <w:sz w:val="24"/>
                <w:szCs w:val="24"/>
              </w:rPr>
              <w:t>“:</w:t>
            </w:r>
          </w:p>
        </w:tc>
      </w:tr>
      <w:tr w:rsidR="00E374A5" w:rsidRPr="00A972FD" w14:paraId="54705A00" w14:textId="77777777" w:rsidTr="00DE00B0">
        <w:tblPrEx>
          <w:shd w:val="clear" w:color="auto" w:fill="FFFFFF" w:themeFill="background1"/>
        </w:tblPrEx>
        <w:tc>
          <w:tcPr>
            <w:tcW w:w="9914" w:type="dxa"/>
            <w:shd w:val="clear" w:color="auto" w:fill="FFFFFF" w:themeFill="background1"/>
          </w:tcPr>
          <w:p w14:paraId="7E8BCE25" w14:textId="4827389F" w:rsidR="00E374A5" w:rsidRPr="00227D54" w:rsidRDefault="00227D54" w:rsidP="00BB0AE4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Предлагаме изложението да се разшири в частта, отнасяща се до регламентирането на ролята на „Български ВиК Холдинг“ ЕАД. Описанието да бъде в контекста на актуалното и желаното състояние </w:t>
            </w:r>
            <w:r w:rsidR="00292A29">
              <w:rPr>
                <w:rFonts w:cstheme="minorHAnsi"/>
                <w:sz w:val="24"/>
                <w:szCs w:val="24"/>
              </w:rPr>
              <w:t>спрямо</w:t>
            </w:r>
            <w:r>
              <w:rPr>
                <w:rFonts w:cstheme="minorHAnsi"/>
                <w:sz w:val="24"/>
                <w:szCs w:val="24"/>
              </w:rPr>
              <w:t xml:space="preserve"> функциите, статут</w:t>
            </w:r>
            <w:r w:rsidR="00BB0AE4">
              <w:rPr>
                <w:rFonts w:cstheme="minorHAnsi"/>
                <w:sz w:val="24"/>
                <w:szCs w:val="24"/>
              </w:rPr>
              <w:t>а</w:t>
            </w:r>
            <w:r>
              <w:rPr>
                <w:rFonts w:cstheme="minorHAnsi"/>
                <w:sz w:val="24"/>
                <w:szCs w:val="24"/>
              </w:rPr>
              <w:t xml:space="preserve"> и обезпечаването (финансово, кадрово и техническо) на организацията.</w:t>
            </w:r>
          </w:p>
        </w:tc>
      </w:tr>
      <w:tr w:rsidR="00E374A5" w:rsidRPr="00A972FD" w14:paraId="5C3A48CB" w14:textId="77777777" w:rsidTr="00DE00B0">
        <w:tblPrEx>
          <w:shd w:val="clear" w:color="auto" w:fill="FFFFFF" w:themeFill="background1"/>
        </w:tblPrEx>
        <w:tc>
          <w:tcPr>
            <w:tcW w:w="9914" w:type="dxa"/>
            <w:shd w:val="clear" w:color="auto" w:fill="FFFFFF" w:themeFill="background1"/>
          </w:tcPr>
          <w:p w14:paraId="200ADFD9" w14:textId="49890CB5" w:rsidR="00E374A5" w:rsidRPr="00A972FD" w:rsidRDefault="00E374A5" w:rsidP="00227D54">
            <w:pPr>
              <w:pStyle w:val="a"/>
              <w:ind w:left="900" w:hanging="540"/>
              <w:jc w:val="both"/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t xml:space="preserve">Относно раздел </w:t>
            </w:r>
            <w:r w:rsidR="00227D54">
              <w:rPr>
                <w:rFonts w:cstheme="minorHAnsi"/>
                <w:sz w:val="24"/>
                <w:szCs w:val="24"/>
              </w:rPr>
              <w:t>5</w:t>
            </w:r>
            <w:r w:rsidRPr="00A972FD">
              <w:rPr>
                <w:rFonts w:cstheme="minorHAnsi"/>
                <w:sz w:val="24"/>
                <w:szCs w:val="24"/>
              </w:rPr>
              <w:t xml:space="preserve"> „</w:t>
            </w:r>
            <w:r w:rsidR="00227D54">
              <w:rPr>
                <w:rFonts w:cstheme="minorHAnsi"/>
                <w:sz w:val="24"/>
                <w:szCs w:val="24"/>
              </w:rPr>
              <w:t>Анализ на въздействията“:</w:t>
            </w:r>
          </w:p>
        </w:tc>
      </w:tr>
      <w:tr w:rsidR="00E374A5" w:rsidRPr="00A972FD" w14:paraId="11C9E539" w14:textId="77777777" w:rsidTr="00DE00B0">
        <w:tblPrEx>
          <w:shd w:val="clear" w:color="auto" w:fill="FFFFFF" w:themeFill="background1"/>
        </w:tblPrEx>
        <w:tc>
          <w:tcPr>
            <w:tcW w:w="9914" w:type="dxa"/>
            <w:shd w:val="clear" w:color="auto" w:fill="FFFFFF" w:themeFill="background1"/>
          </w:tcPr>
          <w:p w14:paraId="43078018" w14:textId="59060FF9" w:rsidR="00E374A5" w:rsidRPr="00932950" w:rsidRDefault="00227D54" w:rsidP="00E374A5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Предлагаме изложението да се разшири в частта, отнасяща се до </w:t>
            </w:r>
            <w:r w:rsidR="0078144A">
              <w:rPr>
                <w:rFonts w:cstheme="minorHAnsi"/>
                <w:sz w:val="24"/>
                <w:szCs w:val="24"/>
              </w:rPr>
              <w:t>административната тежест и</w:t>
            </w:r>
            <w:r>
              <w:rPr>
                <w:rFonts w:cstheme="minorHAnsi"/>
                <w:sz w:val="24"/>
                <w:szCs w:val="24"/>
              </w:rPr>
              <w:t xml:space="preserve"> по-конкретно</w:t>
            </w:r>
            <w:r w:rsidR="0078144A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очаквани промени спрямо актуалното състояние на режими, услуги и регистри.</w:t>
            </w:r>
          </w:p>
        </w:tc>
      </w:tr>
      <w:tr w:rsidR="00E374A5" w:rsidRPr="00A972FD" w14:paraId="2CEB7F3F" w14:textId="77777777" w:rsidTr="00DE00B0">
        <w:tblPrEx>
          <w:shd w:val="clear" w:color="auto" w:fill="FFFFFF" w:themeFill="background1"/>
        </w:tblPrEx>
        <w:tc>
          <w:tcPr>
            <w:tcW w:w="9914" w:type="dxa"/>
            <w:shd w:val="clear" w:color="auto" w:fill="FFFFFF" w:themeFill="background1"/>
          </w:tcPr>
          <w:p w14:paraId="1A438FAC" w14:textId="1059B935" w:rsidR="00E374A5" w:rsidRPr="00A972FD" w:rsidRDefault="00E374A5" w:rsidP="00291885">
            <w:pPr>
              <w:pStyle w:val="a"/>
              <w:ind w:left="900" w:hanging="540"/>
              <w:jc w:val="both"/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t xml:space="preserve">Относно раздел </w:t>
            </w:r>
            <w:r w:rsidR="00150F6D">
              <w:rPr>
                <w:rFonts w:cstheme="minorHAnsi"/>
                <w:sz w:val="24"/>
                <w:szCs w:val="24"/>
              </w:rPr>
              <w:t>8</w:t>
            </w:r>
            <w:r w:rsidRPr="00A972FD">
              <w:rPr>
                <w:rFonts w:cstheme="minorHAnsi"/>
                <w:sz w:val="24"/>
                <w:szCs w:val="24"/>
              </w:rPr>
              <w:t xml:space="preserve"> „</w:t>
            </w:r>
            <w:r w:rsidR="00291885">
              <w:rPr>
                <w:rFonts w:cstheme="minorHAnsi"/>
                <w:sz w:val="24"/>
                <w:szCs w:val="24"/>
              </w:rPr>
              <w:t>Обществени к</w:t>
            </w:r>
            <w:r w:rsidRPr="00A972FD">
              <w:rPr>
                <w:rFonts w:cstheme="minorHAnsi"/>
                <w:sz w:val="24"/>
                <w:szCs w:val="24"/>
              </w:rPr>
              <w:t>онсултации“:</w:t>
            </w:r>
          </w:p>
        </w:tc>
      </w:tr>
      <w:tr w:rsidR="00E374A5" w:rsidRPr="00A972FD" w14:paraId="22381DA5" w14:textId="77777777" w:rsidTr="00DE00B0">
        <w:tblPrEx>
          <w:shd w:val="clear" w:color="auto" w:fill="FFFFFF" w:themeFill="background1"/>
        </w:tblPrEx>
        <w:tc>
          <w:tcPr>
            <w:tcW w:w="9914" w:type="dxa"/>
            <w:shd w:val="clear" w:color="auto" w:fill="FFFFFF" w:themeFill="background1"/>
          </w:tcPr>
          <w:p w14:paraId="6239D42D" w14:textId="77777777" w:rsidR="00E374A5" w:rsidRDefault="00DF1B3A" w:rsidP="00DF1B3A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 цел улеснение на заинтересованите страни, предлагаме да бъдат включени препратки под формата на хиперлинкове към онлайн ресурсите от проведените обществени консултации.</w:t>
            </w:r>
          </w:p>
          <w:p w14:paraId="7F3580EE" w14:textId="21BD04FF" w:rsidR="00150F6D" w:rsidRDefault="00DF1B3A" w:rsidP="00150F6D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Насърчаваме </w:t>
            </w:r>
            <w:r w:rsidR="00150F6D">
              <w:rPr>
                <w:rFonts w:cstheme="minorHAnsi"/>
                <w:sz w:val="24"/>
                <w:szCs w:val="24"/>
              </w:rPr>
              <w:t xml:space="preserve">предстоящата </w:t>
            </w:r>
            <w:r>
              <w:rPr>
                <w:rFonts w:cstheme="minorHAnsi"/>
                <w:sz w:val="24"/>
                <w:szCs w:val="24"/>
              </w:rPr>
              <w:t>обществена</w:t>
            </w:r>
            <w:r w:rsidR="00150F6D">
              <w:rPr>
                <w:rFonts w:cstheme="minorHAnsi"/>
                <w:sz w:val="24"/>
                <w:szCs w:val="24"/>
              </w:rPr>
              <w:t xml:space="preserve"> консултация по реда на чл. 26, ал. 4 </w:t>
            </w:r>
            <w:r>
              <w:rPr>
                <w:rFonts w:cstheme="minorHAnsi"/>
                <w:sz w:val="24"/>
                <w:szCs w:val="24"/>
              </w:rPr>
              <w:t xml:space="preserve">от Закона за нормативните актове </w:t>
            </w:r>
            <w:r w:rsidR="00150F6D">
              <w:rPr>
                <w:rFonts w:cstheme="minorHAnsi"/>
                <w:sz w:val="24"/>
                <w:szCs w:val="24"/>
              </w:rPr>
              <w:t xml:space="preserve">да се проведе </w:t>
            </w:r>
            <w:r w:rsidR="00C1278E">
              <w:rPr>
                <w:rFonts w:cstheme="minorHAnsi"/>
                <w:sz w:val="24"/>
                <w:szCs w:val="24"/>
              </w:rPr>
              <w:t xml:space="preserve">в предвидения обичаен срок, а именно </w:t>
            </w:r>
            <w:r w:rsidR="00150F6D">
              <w:rPr>
                <w:rFonts w:cstheme="minorHAnsi"/>
                <w:sz w:val="24"/>
                <w:szCs w:val="24"/>
              </w:rPr>
              <w:t>не по-кратък от 30 дни. Мотиви за това са:</w:t>
            </w:r>
          </w:p>
          <w:p w14:paraId="755CDA21" w14:textId="00A23340" w:rsidR="00150F6D" w:rsidRDefault="00150F6D" w:rsidP="00150F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Високото обществено значение на темата, видно и от идентифицираните в оценката заинтересовани страни;</w:t>
            </w:r>
          </w:p>
          <w:p w14:paraId="6994BBFF" w14:textId="2F7ABD51" w:rsidR="00150F6D" w:rsidRDefault="00150F6D" w:rsidP="00150F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Значителния обем на положения труд, особено в контекста на предложеното изготвяне на изцяло нов проект на закон, с който да се кодифицира тематичната област;</w:t>
            </w:r>
          </w:p>
          <w:p w14:paraId="617D627C" w14:textId="7C3D4FF6" w:rsidR="00DF1B3A" w:rsidRPr="00150F6D" w:rsidRDefault="00150F6D" w:rsidP="00150F6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Изминаването на повече от година и половина от проведените предварителни консултации.</w:t>
            </w:r>
          </w:p>
        </w:tc>
      </w:tr>
      <w:tr w:rsidR="00E374A5" w:rsidRPr="00A972FD" w14:paraId="282DAB17" w14:textId="77777777" w:rsidTr="00DE00B0">
        <w:tblPrEx>
          <w:shd w:val="clear" w:color="auto" w:fill="FFFFFF" w:themeFill="background1"/>
        </w:tblPrEx>
        <w:tc>
          <w:tcPr>
            <w:tcW w:w="9914" w:type="dxa"/>
            <w:shd w:val="clear" w:color="auto" w:fill="FFFFFF" w:themeFill="background1"/>
          </w:tcPr>
          <w:p w14:paraId="35B6281D" w14:textId="7CE6C029" w:rsidR="00E374A5" w:rsidRPr="00A972FD" w:rsidRDefault="00E374A5" w:rsidP="00080414">
            <w:pPr>
              <w:pStyle w:val="a"/>
              <w:ind w:left="900" w:hanging="540"/>
              <w:jc w:val="both"/>
              <w:rPr>
                <w:rFonts w:cstheme="minorHAnsi"/>
                <w:sz w:val="24"/>
                <w:szCs w:val="24"/>
              </w:rPr>
            </w:pPr>
            <w:r w:rsidRPr="00A972FD">
              <w:rPr>
                <w:rFonts w:cstheme="minorHAnsi"/>
                <w:sz w:val="24"/>
                <w:szCs w:val="24"/>
              </w:rPr>
              <w:lastRenderedPageBreak/>
              <w:t>Относно раздел 9 „</w:t>
            </w:r>
            <w:r w:rsidR="00080414">
              <w:rPr>
                <w:rFonts w:cstheme="minorHAnsi"/>
                <w:sz w:val="24"/>
                <w:szCs w:val="24"/>
              </w:rPr>
              <w:t>Последваща оценка на въздействието</w:t>
            </w:r>
            <w:r w:rsidRPr="00A972FD">
              <w:rPr>
                <w:rFonts w:cstheme="minorHAnsi"/>
                <w:sz w:val="24"/>
                <w:szCs w:val="24"/>
              </w:rPr>
              <w:t>“:</w:t>
            </w:r>
          </w:p>
        </w:tc>
      </w:tr>
      <w:tr w:rsidR="00E374A5" w:rsidRPr="00A972FD" w14:paraId="31D8608E" w14:textId="77777777" w:rsidTr="00DE00B0">
        <w:tblPrEx>
          <w:shd w:val="clear" w:color="auto" w:fill="FFFFFF" w:themeFill="background1"/>
        </w:tblPrEx>
        <w:tc>
          <w:tcPr>
            <w:tcW w:w="9914" w:type="dxa"/>
            <w:shd w:val="clear" w:color="auto" w:fill="FFFFFF" w:themeFill="background1"/>
          </w:tcPr>
          <w:p w14:paraId="4AA09FFA" w14:textId="7184C1CA" w:rsidR="00291885" w:rsidRDefault="00291885" w:rsidP="00E374A5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Разпоредбата на чл. 22, ал. 2 от Закона за нормативните актове, позволява извършването на последваща оценка на въздействието в </w:t>
            </w:r>
            <w:r w:rsidR="009D55DD">
              <w:rPr>
                <w:rFonts w:cstheme="minorHAnsi"/>
                <w:sz w:val="24"/>
                <w:szCs w:val="24"/>
              </w:rPr>
              <w:t xml:space="preserve">срок </w:t>
            </w:r>
            <w:r>
              <w:rPr>
                <w:rFonts w:cstheme="minorHAnsi"/>
                <w:sz w:val="24"/>
                <w:szCs w:val="24"/>
              </w:rPr>
              <w:t xml:space="preserve">по-кратък от 5 години. </w:t>
            </w:r>
            <w:r w:rsidR="00D26757">
              <w:rPr>
                <w:rFonts w:cstheme="minorHAnsi"/>
                <w:sz w:val="24"/>
                <w:szCs w:val="24"/>
              </w:rPr>
              <w:t>Предвид обхвата на планираните промени и натрупаната законодателна практика, възможно е да се създаде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26757">
              <w:rPr>
                <w:rFonts w:cstheme="minorHAnsi"/>
                <w:sz w:val="24"/>
                <w:szCs w:val="24"/>
              </w:rPr>
              <w:t xml:space="preserve">необходимост от </w:t>
            </w:r>
            <w:r>
              <w:rPr>
                <w:rFonts w:cstheme="minorHAnsi"/>
                <w:sz w:val="24"/>
                <w:szCs w:val="24"/>
              </w:rPr>
              <w:t>последващи изменения на нормативния акт в периода до 5 години след влиза</w:t>
            </w:r>
            <w:r w:rsidR="00D26757">
              <w:rPr>
                <w:rFonts w:cstheme="minorHAnsi"/>
                <w:sz w:val="24"/>
                <w:szCs w:val="24"/>
              </w:rPr>
              <w:t>нето му в сила. В тази връзка п</w:t>
            </w:r>
            <w:r>
              <w:rPr>
                <w:rFonts w:cstheme="minorHAnsi"/>
                <w:sz w:val="24"/>
                <w:szCs w:val="24"/>
              </w:rPr>
              <w:t>редлагаме да се обмисли възможността за по-кратък срок за изготвяне на последваща оценка на въздействието.</w:t>
            </w:r>
          </w:p>
          <w:p w14:paraId="28915925" w14:textId="38E880C4" w:rsidR="00E374A5" w:rsidRDefault="00080414" w:rsidP="00E374A5">
            <w:pPr>
              <w:ind w:firstLine="34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 цел по-ясна организация на процеса по </w:t>
            </w:r>
            <w:r w:rsidR="00291885">
              <w:rPr>
                <w:rFonts w:cstheme="minorHAnsi"/>
                <w:sz w:val="24"/>
                <w:szCs w:val="24"/>
              </w:rPr>
              <w:t>планиране</w:t>
            </w:r>
            <w:r>
              <w:rPr>
                <w:rFonts w:cstheme="minorHAnsi"/>
                <w:sz w:val="24"/>
                <w:szCs w:val="24"/>
              </w:rPr>
              <w:t xml:space="preserve"> на последваща</w:t>
            </w:r>
            <w:r w:rsidR="00291885">
              <w:rPr>
                <w:rFonts w:cstheme="minorHAnsi"/>
                <w:sz w:val="24"/>
                <w:szCs w:val="24"/>
              </w:rPr>
              <w:t>та</w:t>
            </w:r>
            <w:r>
              <w:rPr>
                <w:rFonts w:cstheme="minorHAnsi"/>
                <w:sz w:val="24"/>
                <w:szCs w:val="24"/>
              </w:rPr>
              <w:t xml:space="preserve"> оценка на въздействието, предлагаме:</w:t>
            </w:r>
          </w:p>
          <w:p w14:paraId="74B358BC" w14:textId="62F6188F" w:rsidR="00080414" w:rsidRDefault="00080414" w:rsidP="00080414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 заключителни разпоредби на законопроекта да се </w:t>
            </w:r>
            <w:r w:rsidR="00BB0AE4">
              <w:rPr>
                <w:rFonts w:cstheme="minorHAnsi"/>
                <w:sz w:val="24"/>
                <w:szCs w:val="24"/>
              </w:rPr>
              <w:t>посочи</w:t>
            </w:r>
            <w:r>
              <w:rPr>
                <w:rFonts w:cstheme="minorHAnsi"/>
                <w:sz w:val="24"/>
                <w:szCs w:val="24"/>
              </w:rPr>
              <w:t xml:space="preserve"> срокът за </w:t>
            </w:r>
            <w:r w:rsidR="00BB0AE4">
              <w:rPr>
                <w:rFonts w:cstheme="minorHAnsi"/>
                <w:sz w:val="24"/>
                <w:szCs w:val="24"/>
              </w:rPr>
              <w:t>нейното извършване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7B0960ED" w14:textId="10BC020E" w:rsidR="00080414" w:rsidRPr="00080414" w:rsidRDefault="00080414" w:rsidP="006F6C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 заключителните разпоредби на законопроекта да </w:t>
            </w:r>
            <w:r w:rsidR="00BB0AE4">
              <w:rPr>
                <w:rFonts w:cstheme="minorHAnsi"/>
                <w:sz w:val="24"/>
                <w:szCs w:val="24"/>
              </w:rPr>
              <w:t>бъде определен</w:t>
            </w:r>
            <w:r>
              <w:rPr>
                <w:rFonts w:cstheme="minorHAnsi"/>
                <w:sz w:val="24"/>
                <w:szCs w:val="24"/>
              </w:rPr>
              <w:t xml:space="preserve"> органът, който ще </w:t>
            </w:r>
            <w:r w:rsidR="00291885">
              <w:rPr>
                <w:rFonts w:cstheme="minorHAnsi"/>
                <w:sz w:val="24"/>
                <w:szCs w:val="24"/>
              </w:rPr>
              <w:t>извърш</w:t>
            </w:r>
            <w:r w:rsidR="00BB0AE4">
              <w:rPr>
                <w:rFonts w:cstheme="minorHAnsi"/>
                <w:sz w:val="24"/>
                <w:szCs w:val="24"/>
              </w:rPr>
              <w:t>и последващата оценка на въздействието. Съобразно материалната му компетентност към момента това е министъра на регионалното развитие и благоустройството</w:t>
            </w:r>
            <w:r w:rsidR="00291885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03BD3630" w14:textId="77777777" w:rsidR="002D3CB0" w:rsidRPr="00A972FD" w:rsidRDefault="002D3CB0">
      <w:pPr>
        <w:rPr>
          <w:rFonts w:cstheme="minorHAnsi"/>
        </w:rPr>
        <w:sectPr w:rsidR="002D3CB0" w:rsidRPr="00A972FD" w:rsidSect="00551C3A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A972FD" w14:paraId="4DE3315F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D476EE" w14:textId="77777777" w:rsidR="000A68D9" w:rsidRPr="00A972FD" w:rsidRDefault="002D3CB0" w:rsidP="000A68D9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A972FD">
              <w:rPr>
                <w:rFonts w:eastAsia="Times New Roman" w:cstheme="minorHAnsi"/>
                <w:sz w:val="24"/>
                <w:szCs w:val="24"/>
              </w:rPr>
              <w:t>ет и на неговата администрация.</w:t>
            </w:r>
          </w:p>
        </w:tc>
      </w:tr>
      <w:tr w:rsidR="000D667F" w:rsidRPr="00A972FD" w14:paraId="6BC679BA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1FE9EA19" w14:textId="7FABF77B" w:rsidR="000D667F" w:rsidRPr="00A972FD" w:rsidRDefault="000D667F" w:rsidP="002D3CB0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 xml:space="preserve">**   </w:t>
            </w:r>
            <w:r w:rsidR="002C0D1B" w:rsidRPr="00A972FD">
              <w:rPr>
                <w:rFonts w:eastAsia="Times New Roman" w:cstheme="minorHAnsi"/>
                <w:sz w:val="24"/>
                <w:szCs w:val="24"/>
              </w:rPr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A972F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602DA4" w:rsidRPr="00A972FD" w14:paraId="735F2EAE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3838BAB3" w14:textId="77777777" w:rsidR="00602DA4" w:rsidRPr="00A972FD" w:rsidRDefault="002D3CB0" w:rsidP="002D3CB0">
            <w:pPr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>**</w:t>
            </w:r>
            <w:r w:rsidR="000A68D9" w:rsidRPr="00A972FD">
              <w:rPr>
                <w:rFonts w:eastAsia="Times New Roman" w:cstheme="minorHAnsi"/>
                <w:sz w:val="24"/>
                <w:szCs w:val="24"/>
              </w:rPr>
              <w:t>*</w:t>
            </w:r>
            <w:r w:rsidRPr="00A972FD">
              <w:rPr>
                <w:rFonts w:eastAsia="Times New Roman" w:cstheme="minorHAnsi"/>
                <w:sz w:val="24"/>
                <w:szCs w:val="24"/>
              </w:rPr>
              <w:t xml:space="preserve">   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A972FD" w14:paraId="6F3F76F1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77777777" w:rsidR="000A68D9" w:rsidRPr="00A972FD" w:rsidRDefault="002D3CB0" w:rsidP="002D3CB0">
            <w:pPr>
              <w:spacing w:before="120" w:after="120"/>
              <w:jc w:val="both"/>
              <w:rPr>
                <w:rFonts w:cstheme="minorHAnsi"/>
              </w:rPr>
            </w:pPr>
            <w:r w:rsidRPr="00A972FD">
              <w:rPr>
                <w:rFonts w:eastAsia="Times New Roman" w:cstheme="minorHAnsi"/>
                <w:sz w:val="24"/>
                <w:szCs w:val="24"/>
              </w:rPr>
              <w:t>***</w:t>
            </w:r>
            <w:r w:rsidR="000A68D9" w:rsidRPr="00A972FD">
              <w:rPr>
                <w:rFonts w:eastAsia="Times New Roman" w:cstheme="minorHAnsi"/>
                <w:sz w:val="24"/>
                <w:szCs w:val="24"/>
              </w:rPr>
              <w:t>*</w:t>
            </w:r>
            <w:r w:rsidRPr="00932950"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Pr="00A972FD">
              <w:rPr>
                <w:rFonts w:eastAsia="Times New Roman" w:cstheme="minorHAnsi"/>
                <w:sz w:val="24"/>
                <w:szCs w:val="24"/>
              </w:rPr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E3229E" w14:paraId="12F2B143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5460" w14:textId="77777777" w:rsidR="00521568" w:rsidRPr="00A972FD" w:rsidRDefault="00521568" w:rsidP="00521568">
            <w:pPr>
              <w:pStyle w:val="a0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F9102C" w14:textId="77C58612" w:rsidR="00094215" w:rsidRPr="00A972FD" w:rsidRDefault="00094215" w:rsidP="00F568FC">
            <w:pPr>
              <w:pStyle w:val="a0"/>
              <w:rPr>
                <w:rFonts w:asciiTheme="minorHAnsi" w:hAnsiTheme="minorHAnsi" w:cstheme="minorHAnsi"/>
                <w:sz w:val="28"/>
                <w:szCs w:val="28"/>
              </w:rPr>
            </w:pPr>
            <w:r w:rsidRPr="00A972FD">
              <w:rPr>
                <w:rFonts w:asciiTheme="minorHAnsi" w:hAnsiTheme="minorHAnsi" w:cstheme="minorHAnsi"/>
                <w:sz w:val="28"/>
                <w:szCs w:val="28"/>
              </w:rPr>
              <w:t xml:space="preserve">ДИРЕКТОР НА ДИРЕКЦИЯ </w:t>
            </w:r>
          </w:p>
          <w:p w14:paraId="27EE1CF6" w14:textId="77777777" w:rsidR="00094215" w:rsidRPr="00A972FD" w:rsidRDefault="00094215" w:rsidP="00F568FC">
            <w:pPr>
              <w:pStyle w:val="a0"/>
              <w:rPr>
                <w:rFonts w:asciiTheme="minorHAnsi" w:hAnsiTheme="minorHAnsi" w:cstheme="minorHAnsi"/>
                <w:sz w:val="28"/>
                <w:szCs w:val="28"/>
              </w:rPr>
            </w:pPr>
            <w:r w:rsidRPr="00A972FD">
              <w:rPr>
                <w:rFonts w:asciiTheme="minorHAnsi" w:hAnsiTheme="minorHAnsi" w:cstheme="minorHAnsi"/>
                <w:sz w:val="28"/>
                <w:szCs w:val="28"/>
              </w:rPr>
              <w:t>„МОДЕРНИЗАЦИЯ НА АДМИНИСТРАЦИЯТА“</w:t>
            </w:r>
          </w:p>
          <w:p w14:paraId="3F10716B" w14:textId="77777777" w:rsidR="00094215" w:rsidRPr="00A972FD" w:rsidRDefault="006371FD" w:rsidP="00521568">
            <w:pPr>
              <w:spacing w:before="120" w:after="120"/>
              <w:jc w:val="right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pict w14:anchorId="01589C31">
                <v:shape id="_x0000_i1026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171A0E6D" w:rsidR="00B70BF4" w:rsidRPr="00B70BF4" w:rsidRDefault="00B70BF4" w:rsidP="00A972FD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972FD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(</w:t>
            </w:r>
            <w:r w:rsidR="00266613" w:rsidRPr="00A972FD">
              <w:rPr>
                <w:rFonts w:eastAsia="Times New Roman" w:cstheme="minorHAnsi"/>
                <w:b/>
                <w:sz w:val="28"/>
                <w:szCs w:val="28"/>
              </w:rPr>
              <w:t>НИКОЛИНА СТОЯНОВА</w:t>
            </w:r>
            <w:r w:rsidRPr="00A972FD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)</w:t>
            </w:r>
          </w:p>
        </w:tc>
      </w:tr>
      <w:tr w:rsidR="002D3CB0" w:rsidRPr="00E3229E" w14:paraId="6532E023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</w:tcBorders>
          </w:tcPr>
          <w:p w14:paraId="6DAB719F" w14:textId="77777777" w:rsidR="000D667F" w:rsidRPr="00DE7A3D" w:rsidRDefault="000D667F" w:rsidP="002D3CB0">
            <w:pPr>
              <w:spacing w:before="20" w:after="20" w:line="360" w:lineRule="auto"/>
              <w:ind w:right="-646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</w:tbl>
    <w:p w14:paraId="6BCD96D3" w14:textId="77777777" w:rsidR="00602DA4" w:rsidRPr="00E3229E" w:rsidRDefault="00602DA4" w:rsidP="00A972FD">
      <w:pPr>
        <w:rPr>
          <w:rFonts w:cstheme="minorHAnsi"/>
        </w:rPr>
      </w:pPr>
    </w:p>
    <w:sectPr w:rsidR="00602DA4" w:rsidRPr="00E3229E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61B2" w14:textId="77777777" w:rsidR="00164E8F" w:rsidRDefault="00164E8F" w:rsidP="004568A7">
      <w:pPr>
        <w:spacing w:after="0" w:line="240" w:lineRule="auto"/>
      </w:pPr>
      <w:r>
        <w:separator/>
      </w:r>
    </w:p>
  </w:endnote>
  <w:endnote w:type="continuationSeparator" w:id="0">
    <w:p w14:paraId="5692EACC" w14:textId="77777777" w:rsidR="00164E8F" w:rsidRDefault="00164E8F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D936" w14:textId="7F699E9E" w:rsidR="00ED3D62" w:rsidRPr="00425E77" w:rsidRDefault="00ED3D62" w:rsidP="00ED3D62">
    <w:pPr>
      <w:pBdr>
        <w:top w:val="single" w:sz="6" w:space="0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425E77">
      <w:rPr>
        <w:rFonts w:ascii="Times New Roman" w:eastAsia="Times New Roman" w:hAnsi="Times New Roman" w:cs="Times New Roman"/>
        <w:i/>
        <w:sz w:val="20"/>
        <w:szCs w:val="20"/>
      </w:rPr>
      <w:t>гр. София, бул. „Дондуков” № 1, тел. централа: 02/ 940-29-99, факс: 02/ 981-81-70</w:t>
    </w:r>
  </w:p>
  <w:p w14:paraId="5D9FB67F" w14:textId="59686187" w:rsidR="00ED3D62" w:rsidRPr="00425E77" w:rsidRDefault="00ED3D62" w:rsidP="00ED3D62">
    <w:pPr>
      <w:tabs>
        <w:tab w:val="right" w:pos="9072"/>
      </w:tabs>
      <w:spacing w:after="0" w:line="240" w:lineRule="auto"/>
      <w:jc w:val="right"/>
      <w:rPr>
        <w:rFonts w:ascii="HebarU" w:eastAsia="Times New Roman" w:hAnsi="HebarU" w:cs="Times New Roman"/>
        <w:sz w:val="24"/>
        <w:szCs w:val="20"/>
      </w:rPr>
    </w:pP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Страница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PAGE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6371FD">
      <w:rPr>
        <w:rFonts w:ascii="Times New Roman" w:eastAsia="Times New Roman" w:hAnsi="Times New Roman" w:cs="Times New Roman"/>
        <w:b/>
        <w:bCs/>
        <w:noProof/>
        <w:sz w:val="16"/>
        <w:szCs w:val="16"/>
      </w:rPr>
      <w:t>3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 от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NUMPAGES 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6371FD">
      <w:rPr>
        <w:rFonts w:ascii="Times New Roman" w:eastAsia="Times New Roman" w:hAnsi="Times New Roman" w:cs="Times New Roman"/>
        <w:b/>
        <w:bCs/>
        <w:noProof/>
        <w:sz w:val="16"/>
        <w:szCs w:val="16"/>
      </w:rPr>
      <w:t>3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143336A9" w:rsidR="000D667F" w:rsidRDefault="009E2316" w:rsidP="000D667F">
    <w:pPr>
      <w:pBdr>
        <w:top w:val="single" w:sz="6" w:space="1" w:color="auto"/>
      </w:pBdr>
      <w:tabs>
        <w:tab w:val="center" w:pos="4153"/>
        <w:tab w:val="right" w:pos="8306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гр. </w:t>
    </w:r>
    <w:r w:rsidR="000D667F"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C025" w14:textId="77777777" w:rsidR="00164E8F" w:rsidRDefault="00164E8F" w:rsidP="004568A7">
      <w:pPr>
        <w:spacing w:after="0" w:line="240" w:lineRule="auto"/>
      </w:pPr>
      <w:r>
        <w:separator/>
      </w:r>
    </w:p>
  </w:footnote>
  <w:footnote w:type="continuationSeparator" w:id="0">
    <w:p w14:paraId="2E206E32" w14:textId="77777777" w:rsidR="00164E8F" w:rsidRDefault="00164E8F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60E"/>
    <w:multiLevelType w:val="hybridMultilevel"/>
    <w:tmpl w:val="B5B0A95E"/>
    <w:lvl w:ilvl="0" w:tplc="0402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1D60169F"/>
    <w:multiLevelType w:val="hybridMultilevel"/>
    <w:tmpl w:val="EF68179A"/>
    <w:lvl w:ilvl="0" w:tplc="0402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265F"/>
    <w:rsid w:val="00057C18"/>
    <w:rsid w:val="00080414"/>
    <w:rsid w:val="000851AE"/>
    <w:rsid w:val="000879ED"/>
    <w:rsid w:val="00094215"/>
    <w:rsid w:val="000A68D9"/>
    <w:rsid w:val="000B1B75"/>
    <w:rsid w:val="000B1C3B"/>
    <w:rsid w:val="000D667F"/>
    <w:rsid w:val="000F04B2"/>
    <w:rsid w:val="001020BF"/>
    <w:rsid w:val="00126555"/>
    <w:rsid w:val="0014415F"/>
    <w:rsid w:val="00150F6D"/>
    <w:rsid w:val="00152F23"/>
    <w:rsid w:val="0015487A"/>
    <w:rsid w:val="00164E8F"/>
    <w:rsid w:val="00182180"/>
    <w:rsid w:val="001B2BD0"/>
    <w:rsid w:val="001D7F92"/>
    <w:rsid w:val="00204910"/>
    <w:rsid w:val="00204F7B"/>
    <w:rsid w:val="00205D16"/>
    <w:rsid w:val="002061BC"/>
    <w:rsid w:val="002261F7"/>
    <w:rsid w:val="00227D54"/>
    <w:rsid w:val="00247168"/>
    <w:rsid w:val="00266613"/>
    <w:rsid w:val="00274543"/>
    <w:rsid w:val="00277B2B"/>
    <w:rsid w:val="002802AD"/>
    <w:rsid w:val="00291885"/>
    <w:rsid w:val="00292933"/>
    <w:rsid w:val="00292A29"/>
    <w:rsid w:val="002A7C7A"/>
    <w:rsid w:val="002B220F"/>
    <w:rsid w:val="002B50A6"/>
    <w:rsid w:val="002C0D1B"/>
    <w:rsid w:val="002C54DA"/>
    <w:rsid w:val="002C5A97"/>
    <w:rsid w:val="002D3CB0"/>
    <w:rsid w:val="002E73BD"/>
    <w:rsid w:val="00314B6A"/>
    <w:rsid w:val="003176CD"/>
    <w:rsid w:val="00323D41"/>
    <w:rsid w:val="00324E9F"/>
    <w:rsid w:val="00330EFD"/>
    <w:rsid w:val="003442C9"/>
    <w:rsid w:val="00380C9B"/>
    <w:rsid w:val="00392592"/>
    <w:rsid w:val="00394AA9"/>
    <w:rsid w:val="00396719"/>
    <w:rsid w:val="003A4582"/>
    <w:rsid w:val="003C1E9E"/>
    <w:rsid w:val="003D78A7"/>
    <w:rsid w:val="003F6C94"/>
    <w:rsid w:val="00431CC4"/>
    <w:rsid w:val="00445CE4"/>
    <w:rsid w:val="004568A7"/>
    <w:rsid w:val="004C6250"/>
    <w:rsid w:val="004C6C07"/>
    <w:rsid w:val="0050294F"/>
    <w:rsid w:val="00521568"/>
    <w:rsid w:val="00531912"/>
    <w:rsid w:val="0054028C"/>
    <w:rsid w:val="00551C3A"/>
    <w:rsid w:val="00562FF2"/>
    <w:rsid w:val="005717CC"/>
    <w:rsid w:val="00581534"/>
    <w:rsid w:val="005D3149"/>
    <w:rsid w:val="005F2242"/>
    <w:rsid w:val="005F724F"/>
    <w:rsid w:val="00602DA4"/>
    <w:rsid w:val="006371FD"/>
    <w:rsid w:val="00664A4E"/>
    <w:rsid w:val="006717EA"/>
    <w:rsid w:val="006718A8"/>
    <w:rsid w:val="006808CF"/>
    <w:rsid w:val="006B1131"/>
    <w:rsid w:val="006B6BAF"/>
    <w:rsid w:val="006C05A6"/>
    <w:rsid w:val="006D4637"/>
    <w:rsid w:val="006F6CCA"/>
    <w:rsid w:val="0078144A"/>
    <w:rsid w:val="007C039F"/>
    <w:rsid w:val="007C2031"/>
    <w:rsid w:val="007C448C"/>
    <w:rsid w:val="007D0247"/>
    <w:rsid w:val="007D5CC8"/>
    <w:rsid w:val="007F3EA9"/>
    <w:rsid w:val="00823916"/>
    <w:rsid w:val="00836207"/>
    <w:rsid w:val="00840B3A"/>
    <w:rsid w:val="00852EF9"/>
    <w:rsid w:val="00932950"/>
    <w:rsid w:val="00981CBD"/>
    <w:rsid w:val="009D55DD"/>
    <w:rsid w:val="009E2316"/>
    <w:rsid w:val="009F0FB8"/>
    <w:rsid w:val="00A07BE3"/>
    <w:rsid w:val="00A75F5C"/>
    <w:rsid w:val="00A86130"/>
    <w:rsid w:val="00A86B07"/>
    <w:rsid w:val="00A972FD"/>
    <w:rsid w:val="00AA0476"/>
    <w:rsid w:val="00AC6248"/>
    <w:rsid w:val="00AD4774"/>
    <w:rsid w:val="00AE72FE"/>
    <w:rsid w:val="00B06997"/>
    <w:rsid w:val="00B1377E"/>
    <w:rsid w:val="00B34391"/>
    <w:rsid w:val="00B401BA"/>
    <w:rsid w:val="00B60D77"/>
    <w:rsid w:val="00B70BF4"/>
    <w:rsid w:val="00B925F8"/>
    <w:rsid w:val="00BA1FC3"/>
    <w:rsid w:val="00BB0AE4"/>
    <w:rsid w:val="00BB2188"/>
    <w:rsid w:val="00C1278E"/>
    <w:rsid w:val="00C307F0"/>
    <w:rsid w:val="00C45E18"/>
    <w:rsid w:val="00C85426"/>
    <w:rsid w:val="00C94271"/>
    <w:rsid w:val="00CA5C7F"/>
    <w:rsid w:val="00CB4EB5"/>
    <w:rsid w:val="00CC5133"/>
    <w:rsid w:val="00CE2DC3"/>
    <w:rsid w:val="00D04285"/>
    <w:rsid w:val="00D26757"/>
    <w:rsid w:val="00D4506B"/>
    <w:rsid w:val="00D50DE1"/>
    <w:rsid w:val="00D71609"/>
    <w:rsid w:val="00D81DA6"/>
    <w:rsid w:val="00D82CBF"/>
    <w:rsid w:val="00DE00B0"/>
    <w:rsid w:val="00DE33AD"/>
    <w:rsid w:val="00DE7A3D"/>
    <w:rsid w:val="00DF1B3A"/>
    <w:rsid w:val="00E01303"/>
    <w:rsid w:val="00E1478D"/>
    <w:rsid w:val="00E14879"/>
    <w:rsid w:val="00E15DAB"/>
    <w:rsid w:val="00E3229E"/>
    <w:rsid w:val="00E374A5"/>
    <w:rsid w:val="00E5663E"/>
    <w:rsid w:val="00E57CBF"/>
    <w:rsid w:val="00E7617A"/>
    <w:rsid w:val="00E77CFA"/>
    <w:rsid w:val="00E91AA9"/>
    <w:rsid w:val="00EA6D4B"/>
    <w:rsid w:val="00EB342F"/>
    <w:rsid w:val="00ED3D62"/>
    <w:rsid w:val="00EE2F6D"/>
    <w:rsid w:val="00F15F83"/>
    <w:rsid w:val="00F3067F"/>
    <w:rsid w:val="00F4388F"/>
    <w:rsid w:val="00F56413"/>
    <w:rsid w:val="00F568FC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5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54676C"/>
    <w:rsid w:val="00627929"/>
    <w:rsid w:val="00672054"/>
    <w:rsid w:val="00725B05"/>
    <w:rsid w:val="00935050"/>
    <w:rsid w:val="0094156A"/>
    <w:rsid w:val="009C34EF"/>
    <w:rsid w:val="00A55B95"/>
    <w:rsid w:val="00BA708C"/>
    <w:rsid w:val="00C769A9"/>
    <w:rsid w:val="00D46168"/>
    <w:rsid w:val="00DC196C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51C7-6D22-4EBE-A7CC-F3631B6F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SVETLA NIKOLAEVA HRISTOVA</cp:lastModifiedBy>
  <cp:revision>2</cp:revision>
  <cp:lastPrinted>2019-05-16T09:20:00Z</cp:lastPrinted>
  <dcterms:created xsi:type="dcterms:W3CDTF">2024-01-03T12:44:00Z</dcterms:created>
  <dcterms:modified xsi:type="dcterms:W3CDTF">2024-01-03T12:44:00Z</dcterms:modified>
</cp:coreProperties>
</file>